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5D2D" w14:textId="03B52F3E" w:rsidR="00A84668" w:rsidRDefault="00A84668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p w14:paraId="58E211AC" w14:textId="77777777" w:rsidR="003D2F8B" w:rsidRPr="0058792C" w:rsidRDefault="003D2F8B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p w14:paraId="5BD998C7" w14:textId="77777777" w:rsidR="003D2F8B" w:rsidRDefault="00965341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 xml:space="preserve">                                         </w:t>
      </w:r>
    </w:p>
    <w:p w14:paraId="7A58BBF3" w14:textId="77777777" w:rsidR="003D2F8B" w:rsidRDefault="003D2F8B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p w14:paraId="6A154395" w14:textId="77777777" w:rsidR="003D2F8B" w:rsidRDefault="003D2F8B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p w14:paraId="01433778" w14:textId="77777777" w:rsidR="00663113" w:rsidRPr="0058792C" w:rsidRDefault="00663113" w:rsidP="003A7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  <w:sectPr w:rsidR="00663113" w:rsidRPr="0058792C" w:rsidSect="00663113">
          <w:pgSz w:w="11906" w:h="16838"/>
          <w:pgMar w:top="720" w:right="850" w:bottom="1134" w:left="851" w:header="708" w:footer="708" w:gutter="0"/>
          <w:cols w:num="2" w:space="708"/>
          <w:docGrid w:linePitch="360"/>
        </w:sectPr>
      </w:pPr>
    </w:p>
    <w:p w14:paraId="1BDA64C7" w14:textId="77777777" w:rsidR="003F4D6C" w:rsidRPr="009E2D94" w:rsidRDefault="003F4D6C" w:rsidP="003F4D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2458E828" w14:textId="77777777" w:rsidR="003F4D6C" w:rsidRPr="007C6657" w:rsidRDefault="003F4D6C" w:rsidP="003F4D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Regulamentul</w:t>
      </w:r>
      <w:proofErr w:type="spellEnd"/>
    </w:p>
    <w:p w14:paraId="14C85CCD" w14:textId="77777777" w:rsidR="007C6657" w:rsidRDefault="003F4D6C" w:rsidP="003F4D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cu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privire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desfăşurarea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turneului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naţional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tenis</w:t>
      </w:r>
      <w:proofErr w:type="spellEnd"/>
    </w:p>
    <w:p w14:paraId="00286490" w14:textId="463EB576" w:rsidR="003F4D6C" w:rsidRDefault="003F4D6C" w:rsidP="007C66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„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Cupa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181F5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de Var</w:t>
      </w:r>
      <w:r w:rsidR="00181F5B">
        <w:rPr>
          <w:rFonts w:ascii="Arial" w:hAnsi="Arial" w:cs="Arial"/>
          <w:b/>
          <w:bCs/>
          <w:color w:val="000000"/>
          <w:sz w:val="28"/>
          <w:szCs w:val="28"/>
          <w:lang w:val="ro-RO"/>
        </w:rPr>
        <w:t>ă</w:t>
      </w:r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” de</w:t>
      </w:r>
      <w:r w:rsid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categoria</w:t>
      </w:r>
      <w:proofErr w:type="spellEnd"/>
      <w:r w:rsidRPr="007C665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II</w:t>
      </w:r>
    </w:p>
    <w:p w14:paraId="7CE783EE" w14:textId="224AFACA" w:rsidR="00181F5B" w:rsidRPr="00181F5B" w:rsidRDefault="00181F5B" w:rsidP="00181F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181F5B">
        <w:rPr>
          <w:rFonts w:ascii="Arial" w:hAnsi="Arial" w:cs="Arial"/>
          <w:color w:val="000000"/>
          <w:lang w:val="en-US"/>
        </w:rPr>
        <w:t>Prezentul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Regulament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reglementează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condiţiile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şi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termenele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181F5B">
        <w:rPr>
          <w:rFonts w:ascii="Arial" w:hAnsi="Arial" w:cs="Arial"/>
          <w:color w:val="000000"/>
          <w:lang w:val="en-US"/>
        </w:rPr>
        <w:t>desfăşurare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181F5B">
        <w:rPr>
          <w:rFonts w:ascii="Arial" w:hAnsi="Arial" w:cs="Arial"/>
          <w:color w:val="000000"/>
          <w:lang w:val="en-US"/>
        </w:rPr>
        <w:t>turneului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81F5B">
        <w:rPr>
          <w:rFonts w:ascii="Arial" w:hAnsi="Arial" w:cs="Arial"/>
          <w:color w:val="000000"/>
          <w:lang w:val="en-US"/>
        </w:rPr>
        <w:t>naţional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181F5B">
        <w:rPr>
          <w:rFonts w:ascii="Arial" w:hAnsi="Arial" w:cs="Arial"/>
          <w:color w:val="000000"/>
          <w:lang w:val="en-US"/>
        </w:rPr>
        <w:t>tenis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 „</w:t>
      </w:r>
      <w:proofErr w:type="spellStart"/>
      <w:r>
        <w:rPr>
          <w:rFonts w:ascii="Arial" w:hAnsi="Arial" w:cs="Arial"/>
          <w:color w:val="000000"/>
          <w:lang w:val="en-US"/>
        </w:rPr>
        <w:t>Cupa</w:t>
      </w:r>
      <w:proofErr w:type="spellEnd"/>
      <w:r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lang w:val="en-US"/>
        </w:rPr>
        <w:t>Vară</w:t>
      </w:r>
      <w:proofErr w:type="spellEnd"/>
      <w:r w:rsidRPr="00181F5B">
        <w:rPr>
          <w:rFonts w:ascii="Arial" w:hAnsi="Arial" w:cs="Arial"/>
          <w:color w:val="000000"/>
          <w:lang w:val="en-US"/>
        </w:rPr>
        <w:t xml:space="preserve">”  din </w:t>
      </w:r>
      <w:r>
        <w:rPr>
          <w:rFonts w:ascii="Arial" w:hAnsi="Arial" w:cs="Arial"/>
          <w:color w:val="000000"/>
          <w:lang w:val="en-US"/>
        </w:rPr>
        <w:t>28 iunie</w:t>
      </w:r>
      <w:r w:rsidRPr="00181F5B">
        <w:rPr>
          <w:rFonts w:ascii="Arial" w:hAnsi="Arial" w:cs="Arial"/>
          <w:color w:val="000000"/>
          <w:lang w:val="en-US"/>
        </w:rPr>
        <w:t xml:space="preserve">-03 </w:t>
      </w:r>
      <w:r>
        <w:rPr>
          <w:rFonts w:ascii="Arial" w:hAnsi="Arial" w:cs="Arial"/>
          <w:color w:val="000000"/>
          <w:lang w:val="en-US"/>
        </w:rPr>
        <w:t>iulie</w:t>
      </w:r>
      <w:r w:rsidRPr="00181F5B">
        <w:rPr>
          <w:rFonts w:ascii="Arial" w:hAnsi="Arial" w:cs="Arial"/>
          <w:color w:val="000000"/>
          <w:lang w:val="en-US"/>
        </w:rPr>
        <w:t xml:space="preserve"> 2022</w:t>
      </w:r>
    </w:p>
    <w:p w14:paraId="6EC4546B" w14:textId="77777777" w:rsidR="00181F5B" w:rsidRPr="007C6657" w:rsidRDefault="00181F5B" w:rsidP="007C66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7A2B4A91" w14:textId="77777777" w:rsidR="00EA64B9" w:rsidRDefault="00EA64B9" w:rsidP="003F4D6C">
      <w:pPr>
        <w:autoSpaceDE w:val="0"/>
        <w:autoSpaceDN w:val="0"/>
        <w:adjustRightInd w:val="0"/>
        <w:ind w:left="-900"/>
        <w:jc w:val="center"/>
        <w:rPr>
          <w:rFonts w:ascii="Arial" w:hAnsi="Arial" w:cs="Arial"/>
          <w:color w:val="000000"/>
          <w:lang w:val="en-US"/>
        </w:rPr>
      </w:pPr>
    </w:p>
    <w:p w14:paraId="28A68B62" w14:textId="7422B0F6" w:rsidR="003F4D6C" w:rsidRPr="003F4D6C" w:rsidRDefault="003F4D6C" w:rsidP="003F4D6C">
      <w:pPr>
        <w:autoSpaceDE w:val="0"/>
        <w:autoSpaceDN w:val="0"/>
        <w:adjustRightInd w:val="0"/>
        <w:ind w:left="-900"/>
        <w:jc w:val="center"/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0" w:type="auto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7692"/>
      </w:tblGrid>
      <w:tr w:rsidR="003F4D6C" w:rsidRPr="00DF7E1A" w14:paraId="2BE89DAE" w14:textId="77777777" w:rsidTr="00F3343F">
        <w:trPr>
          <w:trHeight w:val="1388"/>
        </w:trPr>
        <w:tc>
          <w:tcPr>
            <w:tcW w:w="2506" w:type="dxa"/>
          </w:tcPr>
          <w:p w14:paraId="183DF961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  <w:color w:val="000000"/>
              </w:rPr>
              <w:t>Scopul și obiectivele:</w:t>
            </w:r>
          </w:p>
          <w:p w14:paraId="1C94AC19" w14:textId="77777777" w:rsidR="003F4D6C" w:rsidRPr="00814133" w:rsidRDefault="003F4D6C" w:rsidP="00F3343F">
            <w:pPr>
              <w:autoSpaceDE w:val="0"/>
              <w:autoSpaceDN w:val="0"/>
              <w:adjustRightInd w:val="0"/>
              <w:ind w:left="17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78" w:type="dxa"/>
          </w:tcPr>
          <w:p w14:paraId="0E9AF4DB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popularizarea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tenisului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69B02AC1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evidenţierea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celor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buni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jucători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ai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Republicii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Moldova;</w:t>
            </w:r>
          </w:p>
          <w:p w14:paraId="26652CF8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promovarea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sportului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modului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sănătos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viaţă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127AED6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antrenarea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tinerilor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practicarea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unei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ramuri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sportive;</w:t>
            </w:r>
          </w:p>
          <w:p w14:paraId="10F34571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perfecţionarea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măiestriei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sportive;</w:t>
            </w:r>
          </w:p>
          <w:p w14:paraId="5FBBC788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obţinerea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experienţei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competiţionale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41E2912F" w14:textId="0FF79F54" w:rsidR="003F4D6C" w:rsidRPr="003F4D6C" w:rsidRDefault="003F4D6C" w:rsidP="00F3343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realizarea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obiectivelor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stipulate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Calendarul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activităţilor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sportive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anul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202</w:t>
            </w:r>
            <w:r w:rsidR="00F679F4">
              <w:rPr>
                <w:rFonts w:ascii="Arial" w:hAnsi="Arial" w:cs="Arial"/>
                <w:lang w:val="en-US"/>
              </w:rPr>
              <w:t>2</w:t>
            </w:r>
            <w:r w:rsidRPr="003F4D6C">
              <w:rPr>
                <w:rFonts w:ascii="Arial" w:hAnsi="Arial" w:cs="Arial"/>
                <w:lang w:val="en-US"/>
              </w:rPr>
              <w:t>.</w:t>
            </w:r>
          </w:p>
        </w:tc>
      </w:tr>
      <w:tr w:rsidR="003F4D6C" w:rsidRPr="00814133" w14:paraId="25621502" w14:textId="77777777" w:rsidTr="00F3343F">
        <w:trPr>
          <w:trHeight w:val="386"/>
        </w:trPr>
        <w:tc>
          <w:tcPr>
            <w:tcW w:w="2506" w:type="dxa"/>
          </w:tcPr>
          <w:p w14:paraId="15F5DB61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t>Locul de sf</w:t>
            </w:r>
            <w:r w:rsidRPr="00814133">
              <w:rPr>
                <w:rFonts w:ascii="Arial" w:hAnsi="Arial" w:cs="Arial"/>
              </w:rPr>
              <w:t>ăş</w:t>
            </w:r>
            <w:r w:rsidRPr="00814133">
              <w:rPr>
                <w:rFonts w:ascii="Arial" w:hAnsi="Arial" w:cs="Arial"/>
                <w:b/>
                <w:bCs/>
              </w:rPr>
              <w:t>ur</w:t>
            </w:r>
            <w:r w:rsidRPr="00814133">
              <w:rPr>
                <w:rFonts w:ascii="Arial" w:hAnsi="Arial" w:cs="Arial"/>
              </w:rPr>
              <w:t>ă</w:t>
            </w:r>
            <w:r w:rsidRPr="00814133">
              <w:rPr>
                <w:rFonts w:ascii="Arial" w:hAnsi="Arial" w:cs="Arial"/>
                <w:b/>
                <w:bCs/>
              </w:rPr>
              <w:t>rii:</w:t>
            </w:r>
          </w:p>
        </w:tc>
        <w:tc>
          <w:tcPr>
            <w:tcW w:w="8078" w:type="dxa"/>
          </w:tcPr>
          <w:p w14:paraId="13EDD070" w14:textId="1F47FDE6" w:rsidR="003F4D6C" w:rsidRPr="00814133" w:rsidRDefault="00181F5B" w:rsidP="00F3343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Clubul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Aliten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str. </w:t>
            </w:r>
            <w:proofErr w:type="spellStart"/>
            <w:r>
              <w:rPr>
                <w:rFonts w:ascii="Arial" w:hAnsi="Arial" w:cs="Arial"/>
                <w:lang w:val="en-US"/>
              </w:rPr>
              <w:t>Sudenților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2/2</w:t>
            </w:r>
          </w:p>
        </w:tc>
      </w:tr>
      <w:tr w:rsidR="003F4D6C" w:rsidRPr="00DF7E1A" w14:paraId="30A86888" w14:textId="77777777" w:rsidTr="00F3343F">
        <w:trPr>
          <w:trHeight w:val="276"/>
        </w:trPr>
        <w:tc>
          <w:tcPr>
            <w:tcW w:w="2506" w:type="dxa"/>
          </w:tcPr>
          <w:p w14:paraId="3ECCA9AB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Perioada</w:t>
            </w:r>
          </w:p>
          <w:p w14:paraId="4C95EAF3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t>desf</w:t>
            </w:r>
            <w:r w:rsidRPr="00814133">
              <w:rPr>
                <w:rFonts w:ascii="Arial" w:hAnsi="Arial" w:cs="Arial"/>
              </w:rPr>
              <w:t>ăş</w:t>
            </w:r>
            <w:r w:rsidRPr="00814133">
              <w:rPr>
                <w:rFonts w:ascii="Arial" w:hAnsi="Arial" w:cs="Arial"/>
                <w:b/>
                <w:bCs/>
              </w:rPr>
              <w:t>ur</w:t>
            </w:r>
            <w:r w:rsidRPr="00814133">
              <w:rPr>
                <w:rFonts w:ascii="Arial" w:hAnsi="Arial" w:cs="Arial"/>
              </w:rPr>
              <w:t>ă</w:t>
            </w:r>
            <w:r w:rsidRPr="00814133">
              <w:rPr>
                <w:rFonts w:ascii="Arial" w:hAnsi="Arial" w:cs="Arial"/>
                <w:b/>
                <w:bCs/>
              </w:rPr>
              <w:t>rii:</w:t>
            </w:r>
          </w:p>
        </w:tc>
        <w:tc>
          <w:tcPr>
            <w:tcW w:w="8078" w:type="dxa"/>
          </w:tcPr>
          <w:p w14:paraId="2E634059" w14:textId="104E96FA" w:rsidR="003F4D6C" w:rsidRPr="003F4D6C" w:rsidRDefault="003F4D6C" w:rsidP="00F3343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241E26">
              <w:rPr>
                <w:rFonts w:ascii="Arial" w:hAnsi="Arial" w:cs="Arial"/>
                <w:lang w:val="en-US"/>
              </w:rPr>
              <w:t>Turneul</w:t>
            </w:r>
            <w:proofErr w:type="spellEnd"/>
            <w:r w:rsidRPr="00241E26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241E26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241E2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41E26">
              <w:rPr>
                <w:rFonts w:ascii="Arial" w:hAnsi="Arial" w:cs="Arial"/>
                <w:lang w:val="en-US"/>
              </w:rPr>
              <w:t>desfășura</w:t>
            </w:r>
            <w:proofErr w:type="spellEnd"/>
            <w:r w:rsidRPr="00241E2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41E26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241E2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679F4">
              <w:rPr>
                <w:rFonts w:ascii="Arial" w:hAnsi="Arial" w:cs="Arial"/>
                <w:lang w:val="en-US"/>
              </w:rPr>
              <w:t>Perioada</w:t>
            </w:r>
            <w:proofErr w:type="spellEnd"/>
            <w:r w:rsidR="00DF7E1A">
              <w:rPr>
                <w:rFonts w:ascii="Arial" w:hAnsi="Arial" w:cs="Arial"/>
                <w:lang w:val="en-US"/>
              </w:rPr>
              <w:t xml:space="preserve"> </w:t>
            </w:r>
            <w:r w:rsidR="00181F5B">
              <w:rPr>
                <w:rFonts w:ascii="Arial" w:hAnsi="Arial" w:cs="Arial"/>
                <w:u w:val="single"/>
                <w:lang w:val="en-US"/>
              </w:rPr>
              <w:t xml:space="preserve">28 </w:t>
            </w:r>
            <w:proofErr w:type="spellStart"/>
            <w:r w:rsidR="00181F5B">
              <w:rPr>
                <w:rFonts w:ascii="Arial" w:hAnsi="Arial" w:cs="Arial"/>
                <w:u w:val="single"/>
                <w:lang w:val="en-US"/>
              </w:rPr>
              <w:t>iunie</w:t>
            </w:r>
            <w:proofErr w:type="spellEnd"/>
            <w:r w:rsidR="00181F5B">
              <w:rPr>
                <w:rFonts w:ascii="Arial" w:hAnsi="Arial" w:cs="Arial"/>
                <w:u w:val="single"/>
                <w:lang w:val="en-US"/>
              </w:rPr>
              <w:t xml:space="preserve"> – 03 </w:t>
            </w:r>
            <w:proofErr w:type="spellStart"/>
            <w:r w:rsidR="00181F5B">
              <w:rPr>
                <w:rFonts w:ascii="Arial" w:hAnsi="Arial" w:cs="Arial"/>
                <w:u w:val="single"/>
                <w:lang w:val="en-US"/>
              </w:rPr>
              <w:t>iulie</w:t>
            </w:r>
            <w:proofErr w:type="spellEnd"/>
            <w:r w:rsidR="00DF7E1A">
              <w:rPr>
                <w:rFonts w:ascii="Arial" w:hAnsi="Arial" w:cs="Arial"/>
                <w:lang w:val="en-US"/>
              </w:rPr>
              <w:t xml:space="preserve"> </w:t>
            </w:r>
            <w:r w:rsidRPr="00241E26">
              <w:rPr>
                <w:rFonts w:ascii="Arial" w:hAnsi="Arial" w:cs="Arial"/>
                <w:lang w:val="en-US"/>
              </w:rPr>
              <w:t>202</w:t>
            </w:r>
            <w:r w:rsidR="00DA476B">
              <w:rPr>
                <w:rFonts w:ascii="Arial" w:hAnsi="Arial" w:cs="Arial"/>
                <w:lang w:val="en-US"/>
              </w:rPr>
              <w:t>2</w:t>
            </w:r>
          </w:p>
        </w:tc>
      </w:tr>
      <w:tr w:rsidR="003F4D6C" w:rsidRPr="00DF7E1A" w14:paraId="14F5D7C8" w14:textId="77777777" w:rsidTr="00F3343F">
        <w:trPr>
          <w:trHeight w:val="422"/>
        </w:trPr>
        <w:tc>
          <w:tcPr>
            <w:tcW w:w="2506" w:type="dxa"/>
          </w:tcPr>
          <w:p w14:paraId="47BEE6D9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t>Organizatorii:</w:t>
            </w:r>
          </w:p>
        </w:tc>
        <w:tc>
          <w:tcPr>
            <w:tcW w:w="8078" w:type="dxa"/>
          </w:tcPr>
          <w:p w14:paraId="01AAEA94" w14:textId="77B273B1" w:rsidR="003F4D6C" w:rsidRPr="003F4D6C" w:rsidRDefault="003F4D6C" w:rsidP="00F3343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Federația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Nationala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Tenis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RM</w:t>
            </w:r>
            <w:r w:rsidR="00DF7E1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F4D6C" w:rsidRPr="00DF7E1A" w14:paraId="215616C5" w14:textId="77777777" w:rsidTr="00F3343F">
        <w:trPr>
          <w:trHeight w:val="1961"/>
        </w:trPr>
        <w:tc>
          <w:tcPr>
            <w:tcW w:w="2506" w:type="dxa"/>
          </w:tcPr>
          <w:p w14:paraId="3663C6FC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t>Participan</w:t>
            </w:r>
            <w:r w:rsidRPr="00814133">
              <w:rPr>
                <w:rFonts w:ascii="Arial" w:hAnsi="Arial" w:cs="Arial"/>
              </w:rPr>
              <w:t>ţ</w:t>
            </w:r>
            <w:r w:rsidRPr="00814133">
              <w:rPr>
                <w:rFonts w:ascii="Arial" w:hAnsi="Arial" w:cs="Arial"/>
                <w:b/>
                <w:bCs/>
              </w:rPr>
              <w:t>ii:</w:t>
            </w:r>
          </w:p>
        </w:tc>
        <w:tc>
          <w:tcPr>
            <w:tcW w:w="8078" w:type="dxa"/>
          </w:tcPr>
          <w:p w14:paraId="2CD58C49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B.F. </w:t>
            </w:r>
            <w:r w:rsidRPr="003F4D6C">
              <w:rPr>
                <w:rFonts w:ascii="Arial" w:hAnsi="Arial" w:cs="Arial"/>
                <w:lang w:val="en-US"/>
              </w:rPr>
              <w:t xml:space="preserve">– 10 </w:t>
            </w:r>
            <w:proofErr w:type="gramStart"/>
            <w:r w:rsidRPr="003F4D6C">
              <w:rPr>
                <w:rFonts w:ascii="Arial" w:hAnsi="Arial" w:cs="Arial"/>
                <w:lang w:val="en-US"/>
              </w:rPr>
              <w:t>ani</w:t>
            </w:r>
            <w:proofErr w:type="gramEnd"/>
            <w:r w:rsidRPr="003F4D6C">
              <w:rPr>
                <w:rFonts w:ascii="Arial" w:hAnsi="Arial" w:cs="Arial"/>
                <w:lang w:val="en-US"/>
              </w:rPr>
              <w:t xml:space="preserve"> (red court, orange court, green court)</w:t>
            </w:r>
          </w:p>
          <w:p w14:paraId="1773A516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Proba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simplu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jucători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licența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4A910B4B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B.F. </w:t>
            </w:r>
            <w:r w:rsidRPr="003F4D6C">
              <w:rPr>
                <w:rFonts w:ascii="Arial" w:hAnsi="Arial" w:cs="Arial"/>
                <w:lang w:val="en-US"/>
              </w:rPr>
              <w:t xml:space="preserve">– 12, 14, 16, 18 </w:t>
            </w:r>
            <w:proofErr w:type="gramStart"/>
            <w:r w:rsidRPr="003F4D6C">
              <w:rPr>
                <w:rFonts w:ascii="Arial" w:hAnsi="Arial" w:cs="Arial"/>
                <w:lang w:val="en-US"/>
              </w:rPr>
              <w:t>ani</w:t>
            </w:r>
            <w:proofErr w:type="gram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396B0EF8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Seniori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>/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Senioare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sportivii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care au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împlinit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vârsta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14 ani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momentul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competiției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5B2A07F3" w14:textId="37B7881F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Proba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dublu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jucători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licența</w:t>
            </w:r>
            <w:proofErr w:type="spellEnd"/>
            <w:r w:rsidR="00373813">
              <w:rPr>
                <w:rFonts w:ascii="Arial" w:hAnsi="Arial" w:cs="Arial"/>
                <w:lang w:val="en-US"/>
              </w:rPr>
              <w:t>, BF 12, 14, 16+</w:t>
            </w:r>
            <w:r w:rsidR="00921C12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921C12">
              <w:rPr>
                <w:rFonts w:ascii="Arial" w:hAnsi="Arial" w:cs="Arial"/>
                <w:lang w:val="en-US"/>
              </w:rPr>
              <w:t>inscrierea</w:t>
            </w:r>
            <w:proofErr w:type="spellEnd"/>
            <w:r w:rsidR="00921C12">
              <w:rPr>
                <w:rFonts w:ascii="Arial" w:hAnsi="Arial" w:cs="Arial"/>
                <w:lang w:val="en-US"/>
              </w:rPr>
              <w:t xml:space="preserve"> se face la </w:t>
            </w:r>
            <w:proofErr w:type="spellStart"/>
            <w:r w:rsidR="00921C12">
              <w:rPr>
                <w:rFonts w:ascii="Arial" w:hAnsi="Arial" w:cs="Arial"/>
                <w:lang w:val="en-US"/>
              </w:rPr>
              <w:t>arbitrul</w:t>
            </w:r>
            <w:proofErr w:type="spellEnd"/>
            <w:r w:rsidR="00921C12">
              <w:rPr>
                <w:rFonts w:ascii="Arial" w:hAnsi="Arial" w:cs="Arial"/>
                <w:lang w:val="en-US"/>
              </w:rPr>
              <w:t xml:space="preserve"> principal la data de </w:t>
            </w:r>
            <w:r w:rsidR="00181F5B">
              <w:rPr>
                <w:rFonts w:ascii="Arial" w:hAnsi="Arial" w:cs="Arial"/>
                <w:lang w:val="en-US"/>
              </w:rPr>
              <w:t xml:space="preserve">27 </w:t>
            </w:r>
            <w:proofErr w:type="spellStart"/>
            <w:r w:rsidR="00181F5B">
              <w:rPr>
                <w:rFonts w:ascii="Arial" w:hAnsi="Arial" w:cs="Arial"/>
                <w:lang w:val="en-US"/>
              </w:rPr>
              <w:t>iunie</w:t>
            </w:r>
            <w:proofErr w:type="spellEnd"/>
            <w:r w:rsidR="00181F5B">
              <w:rPr>
                <w:rFonts w:ascii="Arial" w:hAnsi="Arial" w:cs="Arial"/>
                <w:lang w:val="en-US"/>
              </w:rPr>
              <w:t xml:space="preserve"> 2022</w:t>
            </w:r>
            <w:r w:rsidR="003E046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E0464">
              <w:rPr>
                <w:rFonts w:ascii="Arial" w:hAnsi="Arial" w:cs="Arial"/>
                <w:lang w:val="en-US"/>
              </w:rPr>
              <w:t>pana</w:t>
            </w:r>
            <w:proofErr w:type="spellEnd"/>
            <w:r w:rsidR="003E0464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="003E0464">
              <w:rPr>
                <w:rFonts w:ascii="Arial" w:hAnsi="Arial" w:cs="Arial"/>
                <w:lang w:val="en-US"/>
              </w:rPr>
              <w:t>ora</w:t>
            </w:r>
            <w:proofErr w:type="spellEnd"/>
            <w:r w:rsidR="003E0464">
              <w:rPr>
                <w:rFonts w:ascii="Arial" w:hAnsi="Arial" w:cs="Arial"/>
                <w:lang w:val="en-US"/>
              </w:rPr>
              <w:t xml:space="preserve"> 18.00</w:t>
            </w:r>
          </w:p>
          <w:p w14:paraId="767FD688" w14:textId="77777777" w:rsidR="003F4D6C" w:rsidRPr="003F4D6C" w:rsidRDefault="003F4D6C" w:rsidP="00F3343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 </w:t>
            </w:r>
            <w:r w:rsidRPr="003F4D6C">
              <w:rPr>
                <w:rFonts w:ascii="Arial" w:hAnsi="Arial" w:cs="Arial"/>
                <w:lang w:val="en-US"/>
              </w:rPr>
              <w:t>.</w:t>
            </w:r>
            <w:proofErr w:type="gramEnd"/>
            <w:r w:rsidRPr="003F4D6C">
              <w:rPr>
                <w:rFonts w:ascii="Arial" w:hAnsi="Arial" w:cs="Arial"/>
                <w:lang w:val="en-US"/>
              </w:rPr>
              <w:t xml:space="preserve"> – Green Court </w:t>
            </w:r>
            <w:proofErr w:type="gramStart"/>
            <w:r w:rsidRPr="003F4D6C">
              <w:rPr>
                <w:rFonts w:ascii="Arial" w:hAnsi="Arial" w:cs="Arial"/>
                <w:lang w:val="en-US"/>
              </w:rPr>
              <w:t>( mixt</w:t>
            </w:r>
            <w:proofErr w:type="gramEnd"/>
            <w:r w:rsidRPr="003F4D6C">
              <w:rPr>
                <w:rFonts w:ascii="Arial" w:hAnsi="Arial" w:cs="Arial"/>
                <w:lang w:val="en-US"/>
              </w:rPr>
              <w:t xml:space="preserve"> ), U14 , 14</w:t>
            </w:r>
          </w:p>
        </w:tc>
      </w:tr>
      <w:tr w:rsidR="003F4D6C" w:rsidRPr="00814133" w14:paraId="7447E54F" w14:textId="77777777" w:rsidTr="00F3343F">
        <w:trPr>
          <w:trHeight w:val="1133"/>
        </w:trPr>
        <w:tc>
          <w:tcPr>
            <w:tcW w:w="2506" w:type="dxa"/>
          </w:tcPr>
          <w:p w14:paraId="7EB444AD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t>Sistemul de scor:</w:t>
            </w:r>
          </w:p>
        </w:tc>
        <w:tc>
          <w:tcPr>
            <w:tcW w:w="8078" w:type="dxa"/>
          </w:tcPr>
          <w:p w14:paraId="64BB9B21" w14:textId="3903676E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„Red Court” (Red I – 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-201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, Red II – 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-201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0C3B2B9D" w14:textId="1B236EA6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ro-MD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desf</w:t>
            </w:r>
            <w:proofErr w:type="spellEnd"/>
            <w:r w:rsidRPr="00814133">
              <w:rPr>
                <w:rFonts w:ascii="Arial" w:hAnsi="Arial" w:cs="Arial"/>
                <w:b/>
                <w:bCs/>
                <w:lang w:val="ro-MD"/>
              </w:rPr>
              <w:t xml:space="preserve">ășura la data de </w:t>
            </w:r>
            <w:r w:rsidR="00181F5B">
              <w:rPr>
                <w:rFonts w:ascii="Arial" w:hAnsi="Arial" w:cs="Arial"/>
                <w:b/>
                <w:bCs/>
                <w:lang w:val="ro-MD"/>
              </w:rPr>
              <w:t>03 iulie</w:t>
            </w:r>
            <w:r w:rsidRPr="00814133">
              <w:rPr>
                <w:rFonts w:ascii="Arial" w:hAnsi="Arial" w:cs="Arial"/>
                <w:b/>
                <w:bCs/>
                <w:lang w:val="ro-MD"/>
              </w:rPr>
              <w:t xml:space="preserve"> 202</w:t>
            </w:r>
            <w:r w:rsidR="00DF7E1A">
              <w:rPr>
                <w:rFonts w:ascii="Arial" w:hAnsi="Arial" w:cs="Arial"/>
                <w:b/>
                <w:bCs/>
                <w:lang w:val="ro-MD"/>
              </w:rPr>
              <w:t>2</w:t>
            </w:r>
            <w:r w:rsidRPr="00814133">
              <w:rPr>
                <w:rFonts w:ascii="Arial" w:hAnsi="Arial" w:cs="Arial"/>
                <w:b/>
                <w:bCs/>
                <w:lang w:val="ro-MD"/>
              </w:rPr>
              <w:t xml:space="preserve">. </w:t>
            </w:r>
          </w:p>
          <w:p w14:paraId="5504EBB8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- circular,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depinde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toate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6:6,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lideri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califică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play-off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identic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meciuri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considerație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dintre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pierdute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coincide,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compară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întâlnirea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directă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).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Meciurile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finale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).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-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Semifinala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4)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10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9:9 -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38D3C8D6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Serviciul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servantul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este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obl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igat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stea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ambele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picioare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careul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serviciu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serviciul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nu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trebuie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traverseze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linia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serviciu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; </w:t>
            </w:r>
          </w:p>
          <w:p w14:paraId="2FCC8F29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serviciul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poate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executat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atât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sus,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fără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recul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559CF46E" w14:textId="641E95F2" w:rsidR="003F4D6C" w:rsidRPr="003F4D6C" w:rsidRDefault="00941203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lastRenderedPageBreak/>
              <w:t>D</w:t>
            </w:r>
            <w:r w:rsidR="003F4D6C" w:rsidRPr="003F4D6C">
              <w:rPr>
                <w:rFonts w:ascii="Arial" w:hAnsi="Arial" w:cs="Arial"/>
                <w:lang w:val="en-US"/>
              </w:rPr>
              <w:t>acă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momentul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serviciului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mingea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atinge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fileul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cade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teren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- se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servește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nou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dacă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momentul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serviciului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mingea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atinge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fileul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deviază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 xml:space="preserve"> out - </w:t>
            </w:r>
            <w:proofErr w:type="spellStart"/>
            <w:r w:rsidR="003F4D6C" w:rsidRPr="003F4D6C">
              <w:rPr>
                <w:rFonts w:ascii="Arial" w:hAnsi="Arial" w:cs="Arial"/>
                <w:lang w:val="en-US"/>
              </w:rPr>
              <w:t>greșeală</w:t>
            </w:r>
            <w:proofErr w:type="spellEnd"/>
            <w:r w:rsidR="003F4D6C" w:rsidRPr="003F4D6C">
              <w:rPr>
                <w:rFonts w:ascii="Arial" w:hAnsi="Arial" w:cs="Arial"/>
                <w:lang w:val="en-US"/>
              </w:rPr>
              <w:t>;</w:t>
            </w:r>
          </w:p>
          <w:p w14:paraId="015A0651" w14:textId="0217DE35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„Orange Court” (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Vârsta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obligatorie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anul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na</w:t>
            </w:r>
            <w:r w:rsidRPr="003F4D6C">
              <w:rPr>
                <w:rFonts w:ascii="Arial" w:hAnsi="Arial" w:cs="Arial"/>
                <w:lang w:val="en-US"/>
              </w:rPr>
              <w:t>ș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terii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-201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75B1098B" w14:textId="2BA219A8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desfăşura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la data de </w:t>
            </w:r>
            <w:r w:rsidR="00181F5B">
              <w:rPr>
                <w:rFonts w:ascii="Arial" w:hAnsi="Arial" w:cs="Arial"/>
                <w:b/>
                <w:lang w:val="en-US"/>
              </w:rPr>
              <w:t xml:space="preserve">02-03 </w:t>
            </w:r>
            <w:proofErr w:type="spellStart"/>
            <w:r w:rsidR="00181F5B">
              <w:rPr>
                <w:rFonts w:ascii="Arial" w:hAnsi="Arial" w:cs="Arial"/>
                <w:b/>
                <w:lang w:val="en-US"/>
              </w:rPr>
              <w:t>iulie</w:t>
            </w:r>
            <w:proofErr w:type="spellEnd"/>
            <w:r w:rsidR="00DF7E1A" w:rsidRPr="00814133">
              <w:rPr>
                <w:rFonts w:ascii="Arial" w:hAnsi="Arial" w:cs="Arial"/>
                <w:b/>
                <w:bCs/>
                <w:lang w:val="ro-MD"/>
              </w:rPr>
              <w:t xml:space="preserve"> 202</w:t>
            </w:r>
            <w:r w:rsidR="00DF7E1A">
              <w:rPr>
                <w:rFonts w:ascii="Arial" w:hAnsi="Arial" w:cs="Arial"/>
                <w:b/>
                <w:bCs/>
                <w:lang w:val="ro-MD"/>
              </w:rPr>
              <w:t>2</w:t>
            </w:r>
            <w:r w:rsidRPr="003F4D6C">
              <w:rPr>
                <w:rFonts w:ascii="Arial" w:hAnsi="Arial" w:cs="Arial"/>
                <w:b/>
                <w:lang w:val="en-US"/>
              </w:rPr>
              <w:t>.</w:t>
            </w:r>
          </w:p>
          <w:p w14:paraId="23C81B93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– circular/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depinde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toate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4ED6A201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un set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4;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1B11E4C5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18821C55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52859649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69E34B34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Câte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lideri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califică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play-off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identic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meciuri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considerație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dintre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pierdute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coincide,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compară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întâlnirea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directă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4FC8FE2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Meciurile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finale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6CCC00F3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rămâne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același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694D6D1A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Finala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2)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5A5F5DFA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17A5305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373D32E2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41D5CC70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1-1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un set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4;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4210B157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1570297B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pina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diferenta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0AF4031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</w:p>
          <w:p w14:paraId="4E28488D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Notă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>:</w:t>
            </w:r>
          </w:p>
          <w:p w14:paraId="7A741AF7" w14:textId="46DAF149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“Green Court” (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Vârsta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obligatorie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-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anul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na</w:t>
            </w:r>
            <w:r w:rsidRPr="003F4D6C">
              <w:rPr>
                <w:rFonts w:ascii="Arial" w:hAnsi="Arial" w:cs="Arial"/>
                <w:lang w:val="en-US"/>
              </w:rPr>
              <w:t>ș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terii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-201</w:t>
            </w:r>
            <w:r w:rsidR="00941203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533B7C73" w14:textId="0CB3E1E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lang w:val="en-US"/>
              </w:rPr>
              <w:t>desfăşura</w:t>
            </w:r>
            <w:proofErr w:type="spellEnd"/>
            <w:r w:rsidRPr="003F4D6C">
              <w:rPr>
                <w:rFonts w:ascii="Arial" w:hAnsi="Arial" w:cs="Arial"/>
                <w:b/>
                <w:lang w:val="en-US"/>
              </w:rPr>
              <w:t xml:space="preserve"> la data de </w:t>
            </w:r>
            <w:r w:rsidR="00181F5B">
              <w:rPr>
                <w:rFonts w:ascii="Arial" w:hAnsi="Arial" w:cs="Arial"/>
                <w:b/>
                <w:lang w:val="en-US"/>
              </w:rPr>
              <w:t xml:space="preserve">01- 02 </w:t>
            </w:r>
            <w:proofErr w:type="spellStart"/>
            <w:r w:rsidR="00181F5B">
              <w:rPr>
                <w:rFonts w:ascii="Arial" w:hAnsi="Arial" w:cs="Arial"/>
                <w:b/>
                <w:lang w:val="en-US"/>
              </w:rPr>
              <w:t>iulie</w:t>
            </w:r>
            <w:proofErr w:type="spellEnd"/>
            <w:r w:rsidR="00DF7E1A" w:rsidRPr="00814133">
              <w:rPr>
                <w:rFonts w:ascii="Arial" w:hAnsi="Arial" w:cs="Arial"/>
                <w:b/>
                <w:bCs/>
                <w:lang w:val="ro-MD"/>
              </w:rPr>
              <w:t xml:space="preserve"> 202</w:t>
            </w:r>
            <w:r w:rsidR="00DF7E1A">
              <w:rPr>
                <w:rFonts w:ascii="Arial" w:hAnsi="Arial" w:cs="Arial"/>
                <w:b/>
                <w:bCs/>
                <w:lang w:val="ro-MD"/>
              </w:rPr>
              <w:t>2</w:t>
            </w:r>
            <w:r w:rsidRPr="003F4D6C">
              <w:rPr>
                <w:rFonts w:ascii="Arial" w:hAnsi="Arial" w:cs="Arial"/>
                <w:b/>
                <w:lang w:val="en-US"/>
              </w:rPr>
              <w:t>.</w:t>
            </w:r>
          </w:p>
          <w:p w14:paraId="2C223865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– circular/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depinde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toate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37DA54C2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un set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4;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4DF256B1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64F49153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157812D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3A788FD6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Câte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lideri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subgrupă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califică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play-off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identic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meciuri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considerație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dintre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pierdute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punctelor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coincide,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compară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întâlnirea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directă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3E32DFA1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Meciurile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finale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40BA09FE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rămâne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același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3C1E1B55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Semifinala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Finala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locurile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4)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6A0B5F59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5155C082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61C719A2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2E2F56F6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1-1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un set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4;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Începând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0:0;</w:t>
            </w:r>
          </w:p>
          <w:p w14:paraId="6927DF8D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lastRenderedPageBreak/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40:40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39B8094D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3-3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pina la 2 game-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diferenta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;</w:t>
            </w:r>
          </w:p>
          <w:p w14:paraId="6449AA15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4:4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7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iar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tie-break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joacă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2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diferență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.</w:t>
            </w:r>
          </w:p>
          <w:p w14:paraId="790EE308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B.F. – 12 ani 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consolare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participanţi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Înscrierea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consolare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efectuează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prealabil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arbitrul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principal.</w:t>
            </w:r>
          </w:p>
          <w:p w14:paraId="4B28B054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3F4D6C">
              <w:rPr>
                <w:rFonts w:ascii="Arial" w:hAnsi="Arial" w:cs="Arial"/>
                <w:b/>
                <w:bCs/>
                <w:i/>
                <w:iCs/>
                <w:lang w:val="en-US"/>
              </w:rPr>
              <w:t>Not</w:t>
            </w:r>
            <w:r w:rsidRPr="003F4D6C">
              <w:rPr>
                <w:rFonts w:ascii="Arial" w:hAnsi="Arial" w:cs="Arial"/>
                <w:lang w:val="en-US"/>
              </w:rPr>
              <w:t>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i/>
                <w:iCs/>
                <w:lang w:val="en-US"/>
              </w:rPr>
              <w:t>:</w:t>
            </w:r>
            <w:proofErr w:type="gramEnd"/>
            <w:r w:rsidRPr="003F4D6C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turneul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consolare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jucătorii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care s-au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înscris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prealabil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arbitrul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principal!</w:t>
            </w:r>
          </w:p>
          <w:p w14:paraId="73015B42" w14:textId="433480D9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4133">
              <w:rPr>
                <w:rFonts w:ascii="Arial" w:hAnsi="Arial" w:cs="Arial"/>
              </w:rPr>
              <w:t>С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bun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="00257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575D6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="002575D6">
              <w:rPr>
                <w:rFonts w:ascii="Arial" w:hAnsi="Arial" w:cs="Arial"/>
                <w:lang w:val="en-US"/>
              </w:rPr>
              <w:t xml:space="preserve"> la </w:t>
            </w:r>
            <w:r w:rsidR="00BF1D8F">
              <w:rPr>
                <w:rFonts w:ascii="Arial" w:hAnsi="Arial" w:cs="Arial"/>
                <w:lang w:val="en-US"/>
              </w:rPr>
              <w:t>6</w:t>
            </w:r>
            <w:r w:rsidRPr="003F4D6C">
              <w:rPr>
                <w:rFonts w:ascii="Arial" w:hAnsi="Arial" w:cs="Arial"/>
                <w:lang w:val="en-US"/>
              </w:rPr>
              <w:t xml:space="preserve"> cu tie-break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set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r w:rsidR="00BF1D8F">
              <w:rPr>
                <w:rFonts w:ascii="Arial" w:hAnsi="Arial" w:cs="Arial"/>
                <w:lang w:val="en-US"/>
              </w:rPr>
              <w:t>6</w:t>
            </w:r>
            <w:r w:rsidRPr="003F4D6C">
              <w:rPr>
                <w:rFonts w:ascii="Arial" w:hAnsi="Arial" w:cs="Arial"/>
                <w:lang w:val="en-US"/>
              </w:rPr>
              <w:t xml:space="preserve"> egal,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egalitate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avantaj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două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1616DD87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B.F. – 14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participanţi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Cel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bun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cu tie-break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set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</w:p>
          <w:p w14:paraId="063D42E9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 xml:space="preserve">de 6:6,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egalitate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avantaj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două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).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Nominaţii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locul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1-3.</w:t>
            </w:r>
          </w:p>
          <w:p w14:paraId="773CA754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B.F. – 16+ (U16, U18,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Seniori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Senioare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); -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circular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participanţi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Cel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bun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cu tie-break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set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6:6,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egalitate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avantaj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(cu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câștigarea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două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rând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).</w:t>
            </w:r>
          </w:p>
          <w:p w14:paraId="6CEC34AE" w14:textId="3351B3E8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proba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b/>
                <w:bCs/>
                <w:lang w:val="en-US"/>
              </w:rPr>
              <w:t>dublu</w:t>
            </w:r>
            <w:proofErr w:type="spellEnd"/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lang w:val="en-US"/>
              </w:rPr>
              <w:t xml:space="preserve">- 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B.F. </w:t>
            </w:r>
            <w:r w:rsidR="00BF1D8F">
              <w:rPr>
                <w:rFonts w:ascii="Arial" w:hAnsi="Arial" w:cs="Arial"/>
                <w:b/>
                <w:bCs/>
                <w:lang w:val="en-US"/>
              </w:rPr>
              <w:t xml:space="preserve">12, 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U14, 16+ </w:t>
            </w:r>
            <w:r w:rsidRPr="003F4D6C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olimpic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>,</w:t>
            </w:r>
          </w:p>
          <w:p w14:paraId="3CADD818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dependența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numărul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participanți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Cel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bun din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trei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seturi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cu tie-break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fiecare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set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scorul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6 egal.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aplica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sistema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punct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decisiv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egalitate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”. Al 3-lea set - tie-break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10. </w:t>
            </w:r>
            <w:r w:rsidRPr="00814133">
              <w:rPr>
                <w:rFonts w:ascii="Arial" w:hAnsi="Arial" w:cs="Arial"/>
              </w:rPr>
              <w:t>Nominaţii pentru locul 1-2.</w:t>
            </w:r>
          </w:p>
        </w:tc>
      </w:tr>
      <w:tr w:rsidR="003F4D6C" w:rsidRPr="00814133" w14:paraId="6BD39A32" w14:textId="77777777" w:rsidTr="00F3343F">
        <w:trPr>
          <w:trHeight w:val="439"/>
        </w:trPr>
        <w:tc>
          <w:tcPr>
            <w:tcW w:w="2506" w:type="dxa"/>
          </w:tcPr>
          <w:p w14:paraId="05350AAE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14133">
              <w:rPr>
                <w:rFonts w:ascii="Arial" w:hAnsi="Arial" w:cs="Arial"/>
                <w:b/>
                <w:bCs/>
              </w:rPr>
              <w:lastRenderedPageBreak/>
              <w:t>Tabloul principal:</w:t>
            </w:r>
          </w:p>
        </w:tc>
        <w:tc>
          <w:tcPr>
            <w:tcW w:w="8078" w:type="dxa"/>
          </w:tcPr>
          <w:p w14:paraId="5EE755CE" w14:textId="77777777" w:rsidR="003F4D6C" w:rsidRPr="00814133" w:rsidRDefault="003F4D6C" w:rsidP="00F3343F">
            <w:pPr>
              <w:rPr>
                <w:rFonts w:ascii="Arial" w:hAnsi="Arial" w:cs="Arial"/>
                <w:bCs/>
                <w:color w:val="000000"/>
              </w:rPr>
            </w:pPr>
            <w:r w:rsidRPr="00814133">
              <w:rPr>
                <w:rFonts w:ascii="Arial" w:hAnsi="Arial" w:cs="Arial"/>
                <w:bCs/>
                <w:color w:val="000000"/>
              </w:rPr>
              <w:t>32</w:t>
            </w:r>
          </w:p>
        </w:tc>
      </w:tr>
      <w:tr w:rsidR="00736548" w:rsidRPr="00814133" w14:paraId="201C327C" w14:textId="77777777" w:rsidTr="00F3343F">
        <w:trPr>
          <w:trHeight w:val="439"/>
        </w:trPr>
        <w:tc>
          <w:tcPr>
            <w:tcW w:w="2506" w:type="dxa"/>
          </w:tcPr>
          <w:p w14:paraId="55EF9EB3" w14:textId="63863EC8" w:rsidR="00736548" w:rsidRPr="00736548" w:rsidRDefault="00736548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Arbitru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Principal</w:t>
            </w:r>
          </w:p>
        </w:tc>
        <w:tc>
          <w:tcPr>
            <w:tcW w:w="8078" w:type="dxa"/>
          </w:tcPr>
          <w:p w14:paraId="64A81AE2" w14:textId="33045AB1" w:rsidR="00736548" w:rsidRPr="00736548" w:rsidRDefault="00736548" w:rsidP="00F3343F">
            <w:pPr>
              <w:rPr>
                <w:rFonts w:ascii="Arial" w:hAnsi="Arial" w:cs="Arial"/>
                <w:bCs/>
                <w:color w:val="000000"/>
                <w:lang w:val="ro-RO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Ol</w:t>
            </w:r>
            <w:r w:rsidR="00CB79C3">
              <w:rPr>
                <w:rFonts w:ascii="Arial" w:hAnsi="Arial" w:cs="Arial"/>
                <w:bCs/>
                <w:color w:val="000000"/>
                <w:lang w:val="en-US"/>
              </w:rPr>
              <w:t>e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g Iva</w:t>
            </w:r>
            <w:r>
              <w:rPr>
                <w:rFonts w:ascii="Arial" w:hAnsi="Arial" w:cs="Arial"/>
                <w:bCs/>
                <w:color w:val="000000"/>
                <w:lang w:val="ro-RO"/>
              </w:rPr>
              <w:t xml:space="preserve">șco – </w:t>
            </w:r>
            <w:r w:rsidR="007423C9">
              <w:rPr>
                <w:rFonts w:ascii="Arial" w:hAnsi="Arial" w:cs="Arial"/>
                <w:bCs/>
                <w:color w:val="000000"/>
                <w:lang w:val="ro-RO"/>
              </w:rPr>
              <w:fldChar w:fldCharType="begin"/>
            </w:r>
            <w:r w:rsidR="007423C9">
              <w:rPr>
                <w:rFonts w:ascii="Arial" w:hAnsi="Arial" w:cs="Arial"/>
                <w:bCs/>
                <w:color w:val="000000"/>
                <w:lang w:val="ro-RO"/>
              </w:rPr>
              <w:instrText xml:space="preserve"> HYPERLINK "tel:079535961" </w:instrText>
            </w:r>
            <w:r w:rsidR="007423C9">
              <w:rPr>
                <w:rFonts w:ascii="Arial" w:hAnsi="Arial" w:cs="Arial"/>
                <w:bCs/>
                <w:color w:val="000000"/>
                <w:lang w:val="ro-RO"/>
              </w:rPr>
              <w:fldChar w:fldCharType="separate"/>
            </w:r>
            <w:r w:rsidR="007423C9" w:rsidRPr="00FF1EA6">
              <w:rPr>
                <w:rStyle w:val="Hyperlink"/>
                <w:rFonts w:ascii="Arial" w:hAnsi="Arial" w:cs="Arial"/>
                <w:bCs/>
                <w:lang w:val="ro-RO"/>
              </w:rPr>
              <w:t>tel:079535961</w:t>
            </w:r>
            <w:r w:rsidR="007423C9">
              <w:rPr>
                <w:rFonts w:ascii="Arial" w:hAnsi="Arial" w:cs="Arial"/>
                <w:bCs/>
                <w:color w:val="000000"/>
                <w:lang w:val="ro-RO"/>
              </w:rPr>
              <w:fldChar w:fldCharType="end"/>
            </w:r>
          </w:p>
        </w:tc>
      </w:tr>
      <w:tr w:rsidR="003F4D6C" w:rsidRPr="00DF7E1A" w14:paraId="4D8F4AD6" w14:textId="77777777" w:rsidTr="00F3343F">
        <w:trPr>
          <w:trHeight w:val="688"/>
        </w:trPr>
        <w:tc>
          <w:tcPr>
            <w:tcW w:w="2506" w:type="dxa"/>
          </w:tcPr>
          <w:p w14:paraId="2FCF729E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Condi</w:t>
            </w:r>
            <w:r w:rsidRPr="00814133">
              <w:rPr>
                <w:rFonts w:ascii="Arial" w:hAnsi="Arial" w:cs="Arial"/>
              </w:rPr>
              <w:t>ţ</w:t>
            </w:r>
            <w:r w:rsidRPr="00814133">
              <w:rPr>
                <w:rFonts w:ascii="Arial" w:hAnsi="Arial" w:cs="Arial"/>
                <w:b/>
                <w:bCs/>
              </w:rPr>
              <w:t>iile de</w:t>
            </w:r>
          </w:p>
          <w:p w14:paraId="446CD404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înscriere:</w:t>
            </w:r>
          </w:p>
        </w:tc>
        <w:tc>
          <w:tcPr>
            <w:tcW w:w="8078" w:type="dxa"/>
          </w:tcPr>
          <w:p w14:paraId="1E0E7545" w14:textId="575F2DA3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>Ofertele</w:t>
            </w:r>
            <w:proofErr w:type="spellEnd"/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de concurs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categoriile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B.F.-Green Court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B.F.-12, 14, 16+ 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se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prezintă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la data de</w:t>
            </w:r>
            <w:r w:rsidRPr="00BF1D8F">
              <w:rPr>
                <w:rFonts w:ascii="Arial" w:hAnsi="Arial" w:cs="Arial"/>
                <w:color w:val="000000"/>
                <w:u w:val="single"/>
                <w:lang w:val="en-US"/>
              </w:rPr>
              <w:t>_</w:t>
            </w:r>
            <w:r w:rsidR="00181F5B">
              <w:rPr>
                <w:rFonts w:ascii="Arial" w:hAnsi="Arial" w:cs="Arial"/>
                <w:color w:val="000000"/>
                <w:u w:val="single"/>
                <w:lang w:val="en-US"/>
              </w:rPr>
              <w:t>27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_ </w:t>
            </w:r>
            <w:proofErr w:type="spellStart"/>
            <w:r w:rsidR="00181F5B">
              <w:rPr>
                <w:rFonts w:ascii="Arial" w:hAnsi="Arial" w:cs="Arial"/>
                <w:color w:val="000000"/>
                <w:lang w:val="en-US"/>
              </w:rPr>
              <w:t>iunie</w:t>
            </w:r>
            <w:proofErr w:type="spellEnd"/>
            <w:r w:rsidR="007423C9">
              <w:rPr>
                <w:rFonts w:ascii="Arial" w:hAnsi="Arial" w:cs="Arial"/>
                <w:color w:val="000000"/>
                <w:lang w:val="en-US"/>
              </w:rPr>
              <w:t xml:space="preserve"> 2022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ora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1</w:t>
            </w:r>
            <w:r w:rsidR="00DF7E1A">
              <w:rPr>
                <w:rFonts w:ascii="Arial" w:hAnsi="Arial" w:cs="Arial"/>
                <w:color w:val="000000"/>
                <w:lang w:val="en-US"/>
              </w:rPr>
              <w:t>0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:00.</w:t>
            </w:r>
          </w:p>
          <w:p w14:paraId="2BB5AD69" w14:textId="3F8DC9AB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Înregistrarea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turneu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poate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fi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efectuata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online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pîna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la data de </w:t>
            </w:r>
            <w:r w:rsidR="00181F5B">
              <w:rPr>
                <w:rFonts w:ascii="Arial" w:hAnsi="Arial" w:cs="Arial"/>
                <w:color w:val="000000"/>
                <w:lang w:val="en-US"/>
              </w:rPr>
              <w:t>27</w:t>
            </w:r>
            <w:r w:rsidR="00F54748">
              <w:rPr>
                <w:rFonts w:ascii="Arial" w:hAnsi="Arial" w:cs="Arial"/>
                <w:color w:val="000000"/>
                <w:lang w:val="en-US"/>
              </w:rPr>
              <w:t>.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0</w:t>
            </w:r>
            <w:r w:rsidR="00181F5B">
              <w:rPr>
                <w:rFonts w:ascii="Arial" w:hAnsi="Arial" w:cs="Arial"/>
                <w:color w:val="000000"/>
                <w:lang w:val="en-US"/>
              </w:rPr>
              <w:t>6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.202</w:t>
            </w:r>
            <w:r w:rsidR="00DF7E1A">
              <w:rPr>
                <w:rFonts w:ascii="Arial" w:hAnsi="Arial" w:cs="Arial"/>
                <w:color w:val="000000"/>
                <w:lang w:val="en-US"/>
              </w:rPr>
              <w:t>2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ora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1</w:t>
            </w:r>
            <w:r w:rsidR="00DF7E1A">
              <w:rPr>
                <w:rFonts w:ascii="Arial" w:hAnsi="Arial" w:cs="Arial"/>
                <w:color w:val="000000"/>
                <w:lang w:val="en-US"/>
              </w:rPr>
              <w:t>0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:00,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completând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formularul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electronic de pe site-ul FNTM (</w:t>
            </w:r>
            <w:r w:rsidRPr="003F4D6C">
              <w:rPr>
                <w:rFonts w:ascii="Arial" w:hAnsi="Arial" w:cs="Arial"/>
                <w:color w:val="0563C2"/>
                <w:lang w:val="en-US"/>
              </w:rPr>
              <w:t>www.tenis.md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).</w:t>
            </w:r>
          </w:p>
          <w:p w14:paraId="73CA6AB6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proofErr w:type="gramStart"/>
            <w:r w:rsidRPr="003F4D6C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Not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:</w:t>
            </w:r>
            <w:proofErr w:type="gramEnd"/>
            <w:r w:rsidRPr="003F4D6C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Cererea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participare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este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acceptată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la una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două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categorii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vârstă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, cu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exceptia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categoriei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>Green Court, orange court, red court</w:t>
            </w:r>
          </w:p>
          <w:p w14:paraId="376CB297" w14:textId="01878996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>Ofertele</w:t>
            </w:r>
            <w:proofErr w:type="spellEnd"/>
            <w:r w:rsidRPr="003F4D6C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de concurs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categoriile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Red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și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Orange Court se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primesc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până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F7E1A">
              <w:rPr>
                <w:rFonts w:ascii="Arial" w:hAnsi="Arial" w:cs="Arial"/>
                <w:color w:val="000000"/>
                <w:lang w:val="en-US"/>
              </w:rPr>
              <w:t>joi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="00181F5B">
              <w:rPr>
                <w:rFonts w:ascii="Arial" w:hAnsi="Arial" w:cs="Arial"/>
                <w:color w:val="000000"/>
                <w:lang w:val="en-US"/>
              </w:rPr>
              <w:t>30</w:t>
            </w:r>
            <w:r w:rsidR="00F54748">
              <w:rPr>
                <w:rFonts w:ascii="Arial" w:hAnsi="Arial" w:cs="Arial"/>
                <w:color w:val="000000"/>
                <w:lang w:val="en-US"/>
              </w:rPr>
              <w:t>.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0</w:t>
            </w:r>
            <w:r w:rsidR="00181F5B">
              <w:rPr>
                <w:rFonts w:ascii="Arial" w:hAnsi="Arial" w:cs="Arial"/>
                <w:color w:val="000000"/>
                <w:lang w:val="en-US"/>
              </w:rPr>
              <w:t>6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.202</w:t>
            </w:r>
            <w:r w:rsidR="00DF7E1A">
              <w:rPr>
                <w:rFonts w:ascii="Arial" w:hAnsi="Arial" w:cs="Arial"/>
                <w:color w:val="000000"/>
                <w:lang w:val="en-US"/>
              </w:rPr>
              <w:t>2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ora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1</w:t>
            </w:r>
            <w:r w:rsidR="00DF7E1A">
              <w:rPr>
                <w:rFonts w:ascii="Arial" w:hAnsi="Arial" w:cs="Arial"/>
                <w:color w:val="000000"/>
                <w:lang w:val="en-US"/>
              </w:rPr>
              <w:t>0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:00.</w:t>
            </w:r>
          </w:p>
          <w:p w14:paraId="600C290A" w14:textId="0BC9D1FC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Înregistrarea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turneu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poate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fi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efectuată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online,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completând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formularul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electronic </w:t>
            </w:r>
            <w:proofErr w:type="spellStart"/>
            <w:r w:rsidRPr="003F4D6C">
              <w:rPr>
                <w:rFonts w:ascii="Arial" w:hAnsi="Arial" w:cs="Arial"/>
                <w:color w:val="000000"/>
                <w:lang w:val="en-US"/>
              </w:rPr>
              <w:t>aparte</w:t>
            </w:r>
            <w:proofErr w:type="spellEnd"/>
            <w:r w:rsidRPr="003F4D6C">
              <w:rPr>
                <w:rFonts w:ascii="Arial" w:hAnsi="Arial" w:cs="Arial"/>
                <w:color w:val="000000"/>
                <w:lang w:val="en-US"/>
              </w:rPr>
              <w:t xml:space="preserve"> de pe site-ul FNTM (</w:t>
            </w:r>
            <w:r w:rsidRPr="003F4D6C">
              <w:rPr>
                <w:rFonts w:ascii="Arial" w:hAnsi="Arial" w:cs="Arial"/>
                <w:color w:val="0563C2"/>
                <w:lang w:val="en-US"/>
              </w:rPr>
              <w:t>www.tenis.md</w:t>
            </w:r>
            <w:r w:rsidRPr="003F4D6C">
              <w:rPr>
                <w:rFonts w:ascii="Arial" w:hAnsi="Arial" w:cs="Arial"/>
                <w:color w:val="000000"/>
                <w:lang w:val="en-US"/>
              </w:rPr>
              <w:t>).</w:t>
            </w:r>
          </w:p>
        </w:tc>
      </w:tr>
      <w:tr w:rsidR="003F4D6C" w:rsidRPr="00DF7E1A" w14:paraId="3DB3CE5E" w14:textId="77777777" w:rsidTr="00F3343F">
        <w:trPr>
          <w:trHeight w:val="948"/>
        </w:trPr>
        <w:tc>
          <w:tcPr>
            <w:tcW w:w="2506" w:type="dxa"/>
          </w:tcPr>
          <w:p w14:paraId="0D36C44B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Tragerea la sor</w:t>
            </w:r>
            <w:r w:rsidRPr="00814133">
              <w:rPr>
                <w:rFonts w:ascii="Arial" w:hAnsi="Arial" w:cs="Arial"/>
              </w:rPr>
              <w:t>ţ</w:t>
            </w:r>
            <w:r w:rsidRPr="00814133">
              <w:rPr>
                <w:rFonts w:ascii="Arial" w:hAnsi="Arial" w:cs="Arial"/>
                <w:b/>
                <w:bCs/>
              </w:rPr>
              <w:t>i:</w:t>
            </w:r>
          </w:p>
        </w:tc>
        <w:tc>
          <w:tcPr>
            <w:tcW w:w="8078" w:type="dxa"/>
          </w:tcPr>
          <w:p w14:paraId="09152ED7" w14:textId="4ECABF30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Tragerea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sorți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categoriile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B.F. -12, 14, 16+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şedinţa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Colegiului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Arbitri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avea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loc</w:t>
            </w:r>
            <w:r w:rsidR="00BF1D8F">
              <w:rPr>
                <w:rFonts w:ascii="Arial" w:hAnsi="Arial" w:cs="Arial"/>
                <w:lang w:val="en-US"/>
              </w:rPr>
              <w:t xml:space="preserve"> </w:t>
            </w:r>
            <w:r w:rsidR="00181F5B" w:rsidRPr="00181F5B">
              <w:rPr>
                <w:rFonts w:ascii="Arial" w:hAnsi="Arial" w:cs="Arial"/>
                <w:b/>
                <w:bCs/>
                <w:lang w:val="en-US"/>
              </w:rPr>
              <w:t>27</w:t>
            </w:r>
            <w:r w:rsidR="00BF1D8F" w:rsidRPr="00DF7E1A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181F5B">
              <w:rPr>
                <w:rFonts w:ascii="Arial" w:hAnsi="Arial" w:cs="Arial"/>
                <w:b/>
                <w:bCs/>
                <w:lang w:val="en-US"/>
              </w:rPr>
              <w:t>6</w:t>
            </w:r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BF1D8F">
              <w:rPr>
                <w:rFonts w:ascii="Arial" w:hAnsi="Arial" w:cs="Arial"/>
                <w:b/>
                <w:bCs/>
                <w:lang w:val="en-US"/>
              </w:rPr>
              <w:t>202</w:t>
            </w:r>
            <w:r w:rsidR="00DF7E1A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BF1D8F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 w:rsidRPr="00BF1D8F">
              <w:rPr>
                <w:rFonts w:ascii="Arial" w:hAnsi="Arial" w:cs="Arial"/>
                <w:b/>
                <w:bCs/>
                <w:lang w:val="en-US"/>
              </w:rPr>
              <w:t>ora</w:t>
            </w:r>
            <w:proofErr w:type="spellEnd"/>
            <w:r w:rsidRPr="00BF1D8F">
              <w:rPr>
                <w:rFonts w:ascii="Arial" w:hAnsi="Arial" w:cs="Arial"/>
                <w:b/>
                <w:bCs/>
                <w:lang w:val="en-US"/>
              </w:rPr>
              <w:t xml:space="preserve"> 1</w:t>
            </w:r>
            <w:r w:rsidR="00DF7E1A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BF1D8F">
              <w:rPr>
                <w:rFonts w:ascii="Arial" w:hAnsi="Arial" w:cs="Arial"/>
                <w:b/>
                <w:bCs/>
                <w:lang w:val="en-US"/>
              </w:rPr>
              <w:t>:00</w:t>
            </w:r>
            <w:r w:rsidRPr="003F4D6C">
              <w:rPr>
                <w:rFonts w:ascii="Arial" w:hAnsi="Arial" w:cs="Arial"/>
                <w:lang w:val="en-US"/>
              </w:rPr>
              <w:t xml:space="preserve">,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sediul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FNTM.</w:t>
            </w:r>
          </w:p>
          <w:p w14:paraId="0CB2AD6C" w14:textId="787AA3F6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Tragerea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sorţi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b/>
                <w:bCs/>
                <w:lang w:val="en-US"/>
              </w:rPr>
              <w:t xml:space="preserve">B.F. (Red, Orange Court, Green Court)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avea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loc </w:t>
            </w:r>
            <w:proofErr w:type="spellStart"/>
            <w:r w:rsidR="00BF1D8F">
              <w:rPr>
                <w:rFonts w:ascii="Arial" w:hAnsi="Arial" w:cs="Arial"/>
                <w:lang w:val="en-US"/>
              </w:rPr>
              <w:t>joi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</w:t>
            </w:r>
            <w:r w:rsidR="00181F5B" w:rsidRPr="00181F5B">
              <w:rPr>
                <w:rFonts w:ascii="Arial" w:hAnsi="Arial" w:cs="Arial"/>
                <w:b/>
                <w:bCs/>
                <w:lang w:val="en-US"/>
              </w:rPr>
              <w:t>30</w:t>
            </w:r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.0</w:t>
            </w:r>
            <w:r w:rsidR="00181F5B">
              <w:rPr>
                <w:rFonts w:ascii="Arial" w:hAnsi="Arial" w:cs="Arial"/>
                <w:b/>
                <w:bCs/>
                <w:lang w:val="en-US"/>
              </w:rPr>
              <w:t>6</w:t>
            </w:r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.202</w:t>
            </w:r>
            <w:r w:rsidR="00DF7E1A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BF1D8F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ora</w:t>
            </w:r>
            <w:proofErr w:type="spellEnd"/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 xml:space="preserve"> 1</w:t>
            </w:r>
            <w:r w:rsidR="00DF7E1A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BF1D8F" w:rsidRPr="00BF1D8F">
              <w:rPr>
                <w:rFonts w:ascii="Arial" w:hAnsi="Arial" w:cs="Arial"/>
                <w:b/>
                <w:bCs/>
                <w:lang w:val="en-US"/>
              </w:rPr>
              <w:t>.00</w:t>
            </w:r>
            <w:r w:rsidR="00BF1D8F">
              <w:rPr>
                <w:rFonts w:ascii="Arial" w:hAnsi="Arial" w:cs="Arial"/>
                <w:lang w:val="en-US"/>
              </w:rPr>
              <w:t xml:space="preserve"> </w:t>
            </w:r>
            <w:r w:rsidRPr="003F4D6C">
              <w:rPr>
                <w:rFonts w:ascii="Arial" w:hAnsi="Arial" w:cs="Arial"/>
                <w:lang w:val="en-US"/>
              </w:rPr>
              <w:t xml:space="preserve">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sediul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FNTM</w:t>
            </w:r>
          </w:p>
        </w:tc>
      </w:tr>
      <w:tr w:rsidR="003F4D6C" w:rsidRPr="00DF7E1A" w14:paraId="31C57834" w14:textId="77777777" w:rsidTr="00E93DCE">
        <w:trPr>
          <w:trHeight w:val="584"/>
        </w:trPr>
        <w:tc>
          <w:tcPr>
            <w:tcW w:w="2506" w:type="dxa"/>
          </w:tcPr>
          <w:p w14:paraId="3600C696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Mingea oficial</w:t>
            </w:r>
            <w:r w:rsidRPr="00814133">
              <w:rPr>
                <w:rFonts w:ascii="Arial" w:hAnsi="Arial" w:cs="Arial"/>
              </w:rPr>
              <w:t xml:space="preserve">ă </w:t>
            </w:r>
            <w:r w:rsidRPr="00814133">
              <w:rPr>
                <w:rFonts w:ascii="Arial" w:hAnsi="Arial" w:cs="Arial"/>
                <w:b/>
                <w:bCs/>
              </w:rPr>
              <w:t>a</w:t>
            </w:r>
          </w:p>
          <w:p w14:paraId="56CF4B8C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turneului:</w:t>
            </w:r>
          </w:p>
        </w:tc>
        <w:tc>
          <w:tcPr>
            <w:tcW w:w="8078" w:type="dxa"/>
          </w:tcPr>
          <w:p w14:paraId="699218A4" w14:textId="77777777" w:rsidR="003F4D6C" w:rsidRPr="003F4D6C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6C">
              <w:rPr>
                <w:rFonts w:ascii="Arial" w:hAnsi="Arial" w:cs="Arial"/>
                <w:lang w:val="en-US"/>
              </w:rPr>
              <w:t>HEAD ATP</w:t>
            </w:r>
          </w:p>
          <w:p w14:paraId="24C8432A" w14:textId="77777777" w:rsidR="003F4D6C" w:rsidRPr="003F4D6C" w:rsidRDefault="003F4D6C" w:rsidP="00F3343F">
            <w:pPr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categoria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B.F -10 ani - Red, Orange, Green</w:t>
            </w:r>
          </w:p>
        </w:tc>
      </w:tr>
      <w:tr w:rsidR="003F4D6C" w:rsidRPr="00814133" w14:paraId="6116E59E" w14:textId="77777777" w:rsidTr="00F3343F">
        <w:trPr>
          <w:trHeight w:val="357"/>
        </w:trPr>
        <w:tc>
          <w:tcPr>
            <w:tcW w:w="2506" w:type="dxa"/>
          </w:tcPr>
          <w:p w14:paraId="7FA1237A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Premierea:</w:t>
            </w:r>
          </w:p>
        </w:tc>
        <w:tc>
          <w:tcPr>
            <w:tcW w:w="8078" w:type="dxa"/>
          </w:tcPr>
          <w:p w14:paraId="63DAEF30" w14:textId="144FAD8B" w:rsidR="003F4D6C" w:rsidRPr="007A47E9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C</w:t>
            </w:r>
            <w:r w:rsidRPr="00814133">
              <w:rPr>
                <w:rFonts w:ascii="Arial" w:hAnsi="Arial" w:cs="Arial"/>
              </w:rPr>
              <w:t>upe, diplom</w:t>
            </w:r>
            <w:r w:rsidR="007A47E9">
              <w:rPr>
                <w:rFonts w:ascii="Arial" w:hAnsi="Arial" w:cs="Arial"/>
                <w:lang w:val="ro-RO"/>
              </w:rPr>
              <w:t>e, premii</w:t>
            </w:r>
          </w:p>
        </w:tc>
      </w:tr>
      <w:tr w:rsidR="003F4D6C" w:rsidRPr="00814133" w14:paraId="6502BEDB" w14:textId="77777777" w:rsidTr="00F3343F">
        <w:trPr>
          <w:trHeight w:val="278"/>
        </w:trPr>
        <w:tc>
          <w:tcPr>
            <w:tcW w:w="2506" w:type="dxa"/>
          </w:tcPr>
          <w:p w14:paraId="4673CECA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Arbitru principal:</w:t>
            </w:r>
          </w:p>
        </w:tc>
        <w:tc>
          <w:tcPr>
            <w:tcW w:w="8078" w:type="dxa"/>
          </w:tcPr>
          <w:p w14:paraId="63D106E7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4D6C" w:rsidRPr="00DF7E1A" w14:paraId="687CFC50" w14:textId="77777777" w:rsidTr="00F3343F">
        <w:trPr>
          <w:trHeight w:val="428"/>
        </w:trPr>
        <w:tc>
          <w:tcPr>
            <w:tcW w:w="2506" w:type="dxa"/>
          </w:tcPr>
          <w:p w14:paraId="3560C9D3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Taxa de participare:</w:t>
            </w:r>
          </w:p>
        </w:tc>
        <w:tc>
          <w:tcPr>
            <w:tcW w:w="8078" w:type="dxa"/>
          </w:tcPr>
          <w:p w14:paraId="71665C25" w14:textId="35CB5818" w:rsidR="0098398B" w:rsidRPr="00B17FA4" w:rsidRDefault="0098398B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o-RO"/>
              </w:rPr>
              <w:t xml:space="preserve">Tennis10 - </w:t>
            </w:r>
            <w:r w:rsidR="003F4D6C" w:rsidRPr="00B17FA4">
              <w:rPr>
                <w:rFonts w:ascii="Arial" w:hAnsi="Arial" w:cs="Arial"/>
                <w:lang w:val="en-US"/>
              </w:rPr>
              <w:t>1</w:t>
            </w:r>
            <w:r w:rsidR="009D49BA">
              <w:rPr>
                <w:rFonts w:ascii="Arial" w:hAnsi="Arial" w:cs="Arial"/>
                <w:lang w:val="en-US"/>
              </w:rPr>
              <w:t>5</w:t>
            </w:r>
            <w:r w:rsidR="003F4D6C" w:rsidRPr="00B17FA4">
              <w:rPr>
                <w:rFonts w:ascii="Arial" w:hAnsi="Arial" w:cs="Arial"/>
                <w:lang w:val="en-US"/>
              </w:rPr>
              <w:t xml:space="preserve">0 lei </w:t>
            </w:r>
          </w:p>
          <w:p w14:paraId="5D2B7D91" w14:textId="7D117EB2" w:rsidR="003F4D6C" w:rsidRPr="00B17FA4" w:rsidRDefault="0098398B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o-RO"/>
              </w:rPr>
              <w:t xml:space="preserve">U12 – Seniori - </w:t>
            </w:r>
            <w:r w:rsidR="003F4D6C" w:rsidRPr="00B17FA4">
              <w:rPr>
                <w:rFonts w:ascii="Arial" w:hAnsi="Arial" w:cs="Arial"/>
                <w:lang w:val="en-US"/>
              </w:rPr>
              <w:t xml:space="preserve"> </w:t>
            </w:r>
            <w:r w:rsidR="009D49BA">
              <w:rPr>
                <w:rFonts w:ascii="Arial" w:hAnsi="Arial" w:cs="Arial"/>
                <w:lang w:val="en-US"/>
              </w:rPr>
              <w:t>30</w:t>
            </w:r>
            <w:r w:rsidR="003F4D6C" w:rsidRPr="00B17FA4">
              <w:rPr>
                <w:rFonts w:ascii="Arial" w:hAnsi="Arial" w:cs="Arial"/>
                <w:lang w:val="en-US"/>
              </w:rPr>
              <w:t xml:space="preserve">0 lei </w:t>
            </w:r>
          </w:p>
        </w:tc>
      </w:tr>
      <w:tr w:rsidR="003F4D6C" w:rsidRPr="00DF7E1A" w14:paraId="20D1ED90" w14:textId="77777777" w:rsidTr="00F3343F">
        <w:trPr>
          <w:trHeight w:val="1031"/>
        </w:trPr>
        <w:tc>
          <w:tcPr>
            <w:tcW w:w="2506" w:type="dxa"/>
          </w:tcPr>
          <w:p w14:paraId="1DE884B2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lastRenderedPageBreak/>
              <w:t>Reclama</w:t>
            </w:r>
            <w:r w:rsidRPr="00814133">
              <w:rPr>
                <w:rFonts w:ascii="Arial" w:hAnsi="Arial" w:cs="Arial"/>
              </w:rPr>
              <w:t>ţ</w:t>
            </w:r>
            <w:r w:rsidRPr="00814133">
              <w:rPr>
                <w:rFonts w:ascii="Arial" w:hAnsi="Arial" w:cs="Arial"/>
                <w:b/>
                <w:bCs/>
              </w:rPr>
              <w:t xml:space="preserve">ii </w:t>
            </w:r>
            <w:r w:rsidRPr="00814133">
              <w:rPr>
                <w:rFonts w:ascii="Arial" w:hAnsi="Arial" w:cs="Arial"/>
              </w:rPr>
              <w:t>ş</w:t>
            </w:r>
            <w:r w:rsidRPr="00814133">
              <w:rPr>
                <w:rFonts w:ascii="Arial" w:hAnsi="Arial" w:cs="Arial"/>
                <w:b/>
                <w:bCs/>
              </w:rPr>
              <w:t>i</w:t>
            </w:r>
          </w:p>
          <w:p w14:paraId="7C376F43" w14:textId="77777777" w:rsidR="003F4D6C" w:rsidRPr="00814133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14133">
              <w:rPr>
                <w:rFonts w:ascii="Arial" w:hAnsi="Arial" w:cs="Arial"/>
                <w:b/>
                <w:bCs/>
              </w:rPr>
              <w:t>sugestii</w:t>
            </w:r>
          </w:p>
        </w:tc>
        <w:tc>
          <w:tcPr>
            <w:tcW w:w="8078" w:type="dxa"/>
          </w:tcPr>
          <w:p w14:paraId="75B44BEE" w14:textId="77777777" w:rsidR="003F4D6C" w:rsidRPr="00B21F30" w:rsidRDefault="003F4D6C" w:rsidP="00F3343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3F4D6C">
              <w:rPr>
                <w:rFonts w:ascii="Arial" w:hAnsi="Arial" w:cs="Arial"/>
                <w:lang w:val="en-US"/>
              </w:rPr>
              <w:t>Toate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reclamaţiile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sugestiile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depun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sediul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Federaţiei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Nationale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Tenis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Moldova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mun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Chişinău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, str. Maria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Cibotari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20, tel. 022-86-69-31,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Secretarul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Federaţiei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Nationale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Tenis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din Moldova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expediază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poşta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F4D6C">
              <w:rPr>
                <w:rFonts w:ascii="Arial" w:hAnsi="Arial" w:cs="Arial"/>
                <w:lang w:val="en-US"/>
              </w:rPr>
              <w:t>electronică</w:t>
            </w:r>
            <w:proofErr w:type="spellEnd"/>
            <w:r w:rsidRPr="003F4D6C">
              <w:rPr>
                <w:rFonts w:ascii="Arial" w:hAnsi="Arial" w:cs="Arial"/>
                <w:lang w:val="en-US"/>
              </w:rPr>
              <w:t xml:space="preserve"> info@fntm.md. </w:t>
            </w:r>
            <w:r w:rsidRPr="003F4D6C">
              <w:rPr>
                <w:rFonts w:ascii="Arial" w:hAnsi="Arial" w:cs="Arial"/>
                <w:lang w:val="en-US"/>
              </w:rPr>
              <w:br/>
            </w:r>
            <w:proofErr w:type="spellStart"/>
            <w:r w:rsidRPr="00B21F30">
              <w:rPr>
                <w:rFonts w:ascii="Arial" w:hAnsi="Arial" w:cs="Arial"/>
                <w:lang w:val="en-US"/>
              </w:rPr>
              <w:t>Reclamațiile</w:t>
            </w:r>
            <w:proofErr w:type="spellEnd"/>
            <w:r w:rsidRPr="00B21F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1F30">
              <w:rPr>
                <w:rFonts w:ascii="Arial" w:hAnsi="Arial" w:cs="Arial"/>
                <w:lang w:val="en-US"/>
              </w:rPr>
              <w:t>vor</w:t>
            </w:r>
            <w:proofErr w:type="spellEnd"/>
            <w:r w:rsidRPr="00B21F30">
              <w:rPr>
                <w:rFonts w:ascii="Arial" w:hAnsi="Arial" w:cs="Arial"/>
                <w:lang w:val="en-US"/>
              </w:rPr>
              <w:t xml:space="preserve"> fi examinate </w:t>
            </w:r>
            <w:proofErr w:type="spellStart"/>
            <w:r w:rsidRPr="00B21F30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B21F30">
              <w:rPr>
                <w:rFonts w:ascii="Arial" w:hAnsi="Arial" w:cs="Arial"/>
                <w:lang w:val="en-US"/>
              </w:rPr>
              <w:t xml:space="preserve"> termen de 30 </w:t>
            </w:r>
            <w:proofErr w:type="spellStart"/>
            <w:r w:rsidRPr="00B21F30">
              <w:rPr>
                <w:rFonts w:ascii="Arial" w:hAnsi="Arial" w:cs="Arial"/>
                <w:lang w:val="en-US"/>
              </w:rPr>
              <w:t>zile</w:t>
            </w:r>
            <w:proofErr w:type="spellEnd"/>
            <w:r w:rsidRPr="00B21F30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309369C8" w14:textId="77777777" w:rsidR="003F4D6C" w:rsidRPr="00B21F30" w:rsidRDefault="003F4D6C" w:rsidP="003F4D6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5C248B2A" w14:textId="38552913" w:rsidR="007C38B5" w:rsidRDefault="007C38B5" w:rsidP="003F4D6C">
      <w:pPr>
        <w:autoSpaceDE w:val="0"/>
        <w:autoSpaceDN w:val="0"/>
        <w:adjustRightInd w:val="0"/>
        <w:spacing w:line="360" w:lineRule="auto"/>
        <w:ind w:left="-180"/>
        <w:jc w:val="center"/>
        <w:rPr>
          <w:rFonts w:ascii="Arial" w:hAnsi="Arial" w:cs="Arial"/>
          <w:lang w:val="en-US"/>
        </w:rPr>
      </w:pPr>
    </w:p>
    <w:p w14:paraId="270592B8" w14:textId="77777777" w:rsidR="003F4D6C" w:rsidRPr="007C38B5" w:rsidRDefault="003F4D6C" w:rsidP="00B36B1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00FBC2BF" w14:textId="455C0656" w:rsidR="007C38B5" w:rsidRPr="007C38B5" w:rsidRDefault="007C38B5" w:rsidP="00B36B1C">
      <w:pPr>
        <w:autoSpaceDE w:val="0"/>
        <w:autoSpaceDN w:val="0"/>
        <w:adjustRightInd w:val="0"/>
        <w:spacing w:line="360" w:lineRule="auto"/>
        <w:ind w:left="-900"/>
        <w:rPr>
          <w:rFonts w:ascii="Arial" w:hAnsi="Arial" w:cs="Arial"/>
          <w:b/>
          <w:bCs/>
          <w:u w:val="single"/>
          <w:lang w:val="en-US"/>
        </w:rPr>
      </w:pPr>
      <w:r w:rsidRPr="007C38B5">
        <w:rPr>
          <w:rFonts w:ascii="Arial" w:hAnsi="Arial" w:cs="Arial"/>
          <w:b/>
          <w:bCs/>
          <w:u w:val="single"/>
          <w:lang w:val="en-US"/>
        </w:rPr>
        <w:t xml:space="preserve">N.B: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Prezentul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regulament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serveşte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drept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invitaţie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la concurs.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În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cazul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apariţiei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situaţiilor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de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forţă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majoră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comitetul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organizatoric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al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turneului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îşi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rezervă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dreptul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de </w:t>
      </w:r>
      <w:proofErr w:type="gramStart"/>
      <w:r w:rsidRPr="007C38B5">
        <w:rPr>
          <w:rFonts w:ascii="Arial" w:hAnsi="Arial" w:cs="Arial"/>
          <w:b/>
          <w:bCs/>
          <w:u w:val="single"/>
          <w:lang w:val="en-US"/>
        </w:rPr>
        <w:t>a</w:t>
      </w:r>
      <w:proofErr w:type="gram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efectua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modificări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în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Regulamentul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7C38B5">
        <w:rPr>
          <w:rFonts w:ascii="Arial" w:hAnsi="Arial" w:cs="Arial"/>
          <w:b/>
          <w:bCs/>
          <w:u w:val="single"/>
          <w:lang w:val="en-US"/>
        </w:rPr>
        <w:t>turneului</w:t>
      </w:r>
      <w:proofErr w:type="spellEnd"/>
      <w:r w:rsidRPr="007C38B5">
        <w:rPr>
          <w:rFonts w:ascii="Arial" w:hAnsi="Arial" w:cs="Arial"/>
          <w:b/>
          <w:bCs/>
          <w:u w:val="single"/>
          <w:lang w:val="en-US"/>
        </w:rPr>
        <w:t>.</w:t>
      </w:r>
    </w:p>
    <w:p w14:paraId="4A065DAB" w14:textId="77777777" w:rsidR="007C38B5" w:rsidRDefault="007C38B5" w:rsidP="007C38B5">
      <w:pPr>
        <w:autoSpaceDE w:val="0"/>
        <w:autoSpaceDN w:val="0"/>
        <w:adjustRightInd w:val="0"/>
        <w:spacing w:line="360" w:lineRule="auto"/>
        <w:ind w:left="-180"/>
        <w:rPr>
          <w:rFonts w:ascii="Arial" w:eastAsia="Cambria" w:hAnsi="Arial" w:cs="Arial"/>
          <w:lang w:val="en-US"/>
        </w:rPr>
      </w:pPr>
      <w:bookmarkStart w:id="0" w:name="_gjdgxs" w:colFirst="0" w:colLast="0"/>
      <w:bookmarkEnd w:id="0"/>
    </w:p>
    <w:p w14:paraId="652C8729" w14:textId="71443F83" w:rsidR="00CF028A" w:rsidRPr="007C38B5" w:rsidRDefault="00CF028A" w:rsidP="007C38B5">
      <w:pPr>
        <w:autoSpaceDE w:val="0"/>
        <w:autoSpaceDN w:val="0"/>
        <w:adjustRightInd w:val="0"/>
        <w:spacing w:line="360" w:lineRule="auto"/>
        <w:ind w:left="-180"/>
        <w:rPr>
          <w:rFonts w:asciiTheme="majorHAnsi" w:hAnsiTheme="majorHAnsi" w:cs="Arial"/>
          <w:b/>
          <w:bCs/>
          <w:u w:val="single"/>
          <w:lang w:val="ro-RO"/>
        </w:rPr>
      </w:pPr>
    </w:p>
    <w:sectPr w:rsidR="00CF028A" w:rsidRPr="007C38B5" w:rsidSect="00B36B1C">
      <w:type w:val="continuous"/>
      <w:pgSz w:w="11906" w:h="16838"/>
      <w:pgMar w:top="720" w:right="85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13A"/>
    <w:multiLevelType w:val="hybridMultilevel"/>
    <w:tmpl w:val="4AC0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6D85"/>
    <w:multiLevelType w:val="hybridMultilevel"/>
    <w:tmpl w:val="D068D6D6"/>
    <w:lvl w:ilvl="0" w:tplc="D77C35BA">
      <w:start w:val="1"/>
      <w:numFmt w:val="bullet"/>
      <w:lvlText w:val="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235C4"/>
    <w:multiLevelType w:val="hybridMultilevel"/>
    <w:tmpl w:val="1A188B50"/>
    <w:lvl w:ilvl="0" w:tplc="CB367306">
      <w:start w:val="1"/>
      <w:numFmt w:val="bullet"/>
      <w:lvlText w:val="-"/>
      <w:lvlJc w:val="left"/>
      <w:pPr>
        <w:ind w:left="408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BD46ACA"/>
    <w:multiLevelType w:val="hybridMultilevel"/>
    <w:tmpl w:val="F746FDDE"/>
    <w:lvl w:ilvl="0" w:tplc="44E8EA60">
      <w:start w:val="1"/>
      <w:numFmt w:val="bullet"/>
      <w:lvlText w:val="-"/>
      <w:lvlJc w:val="left"/>
      <w:pPr>
        <w:ind w:left="408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FF66721"/>
    <w:multiLevelType w:val="hybridMultilevel"/>
    <w:tmpl w:val="2838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A3"/>
    <w:rsid w:val="000031B6"/>
    <w:rsid w:val="00023453"/>
    <w:rsid w:val="000420AA"/>
    <w:rsid w:val="00042278"/>
    <w:rsid w:val="000A24EC"/>
    <w:rsid w:val="000B2425"/>
    <w:rsid w:val="000C64D2"/>
    <w:rsid w:val="000C789E"/>
    <w:rsid w:val="000D606D"/>
    <w:rsid w:val="000F7FFE"/>
    <w:rsid w:val="001679ED"/>
    <w:rsid w:val="00181F5B"/>
    <w:rsid w:val="0018786A"/>
    <w:rsid w:val="001C2A04"/>
    <w:rsid w:val="001C5D90"/>
    <w:rsid w:val="001E439B"/>
    <w:rsid w:val="00203ECC"/>
    <w:rsid w:val="00233234"/>
    <w:rsid w:val="00241E26"/>
    <w:rsid w:val="002575D6"/>
    <w:rsid w:val="00261D63"/>
    <w:rsid w:val="00271F48"/>
    <w:rsid w:val="0029172B"/>
    <w:rsid w:val="002C1C77"/>
    <w:rsid w:val="002C7D9E"/>
    <w:rsid w:val="002F3705"/>
    <w:rsid w:val="00306A71"/>
    <w:rsid w:val="00326557"/>
    <w:rsid w:val="00334AF7"/>
    <w:rsid w:val="0034557F"/>
    <w:rsid w:val="003652A3"/>
    <w:rsid w:val="00373813"/>
    <w:rsid w:val="00396EC7"/>
    <w:rsid w:val="003A2EAE"/>
    <w:rsid w:val="003A76AF"/>
    <w:rsid w:val="003C702D"/>
    <w:rsid w:val="003D2F8B"/>
    <w:rsid w:val="003E0464"/>
    <w:rsid w:val="003F38FB"/>
    <w:rsid w:val="003F4D6C"/>
    <w:rsid w:val="00425101"/>
    <w:rsid w:val="00431A5A"/>
    <w:rsid w:val="00497CDF"/>
    <w:rsid w:val="004A2576"/>
    <w:rsid w:val="004D772A"/>
    <w:rsid w:val="005071A9"/>
    <w:rsid w:val="005109CE"/>
    <w:rsid w:val="00566C79"/>
    <w:rsid w:val="0058792C"/>
    <w:rsid w:val="00596B11"/>
    <w:rsid w:val="005A02F8"/>
    <w:rsid w:val="005B3E70"/>
    <w:rsid w:val="005B41A8"/>
    <w:rsid w:val="005B6857"/>
    <w:rsid w:val="005C316B"/>
    <w:rsid w:val="005F0E00"/>
    <w:rsid w:val="00604E0D"/>
    <w:rsid w:val="00605DD0"/>
    <w:rsid w:val="00634717"/>
    <w:rsid w:val="00635A58"/>
    <w:rsid w:val="006620A3"/>
    <w:rsid w:val="00663113"/>
    <w:rsid w:val="00680607"/>
    <w:rsid w:val="00684173"/>
    <w:rsid w:val="006C44B8"/>
    <w:rsid w:val="006C5627"/>
    <w:rsid w:val="006E067F"/>
    <w:rsid w:val="00736548"/>
    <w:rsid w:val="007423C9"/>
    <w:rsid w:val="00757C5A"/>
    <w:rsid w:val="007941F3"/>
    <w:rsid w:val="007A47E9"/>
    <w:rsid w:val="007C01D4"/>
    <w:rsid w:val="007C38B5"/>
    <w:rsid w:val="007C5697"/>
    <w:rsid w:val="007C6657"/>
    <w:rsid w:val="007F04F5"/>
    <w:rsid w:val="007F6614"/>
    <w:rsid w:val="008044E9"/>
    <w:rsid w:val="0085504E"/>
    <w:rsid w:val="00860700"/>
    <w:rsid w:val="008779DE"/>
    <w:rsid w:val="0089173B"/>
    <w:rsid w:val="008D0168"/>
    <w:rsid w:val="008D15ED"/>
    <w:rsid w:val="008D3ED0"/>
    <w:rsid w:val="008F5C08"/>
    <w:rsid w:val="00900248"/>
    <w:rsid w:val="00921C12"/>
    <w:rsid w:val="00923DE0"/>
    <w:rsid w:val="00941203"/>
    <w:rsid w:val="00965341"/>
    <w:rsid w:val="0096575E"/>
    <w:rsid w:val="0098398B"/>
    <w:rsid w:val="009D39AD"/>
    <w:rsid w:val="009D49BA"/>
    <w:rsid w:val="009E2D94"/>
    <w:rsid w:val="009E6998"/>
    <w:rsid w:val="00A14E06"/>
    <w:rsid w:val="00A66709"/>
    <w:rsid w:val="00A84668"/>
    <w:rsid w:val="00AA2AD8"/>
    <w:rsid w:val="00AB3406"/>
    <w:rsid w:val="00AB665E"/>
    <w:rsid w:val="00AC22AD"/>
    <w:rsid w:val="00AE274C"/>
    <w:rsid w:val="00B17FA4"/>
    <w:rsid w:val="00B21F30"/>
    <w:rsid w:val="00B36B1C"/>
    <w:rsid w:val="00B868BD"/>
    <w:rsid w:val="00BC23DF"/>
    <w:rsid w:val="00BF1D8F"/>
    <w:rsid w:val="00C102DF"/>
    <w:rsid w:val="00C10E3D"/>
    <w:rsid w:val="00C304F9"/>
    <w:rsid w:val="00C51C31"/>
    <w:rsid w:val="00C5564E"/>
    <w:rsid w:val="00C64C80"/>
    <w:rsid w:val="00CB1032"/>
    <w:rsid w:val="00CB4DF9"/>
    <w:rsid w:val="00CB79C3"/>
    <w:rsid w:val="00CD2562"/>
    <w:rsid w:val="00CF028A"/>
    <w:rsid w:val="00CF2177"/>
    <w:rsid w:val="00D13A47"/>
    <w:rsid w:val="00D87222"/>
    <w:rsid w:val="00DA476B"/>
    <w:rsid w:val="00DB3DF5"/>
    <w:rsid w:val="00DB405B"/>
    <w:rsid w:val="00DC0B16"/>
    <w:rsid w:val="00DF7E1A"/>
    <w:rsid w:val="00E24590"/>
    <w:rsid w:val="00E67896"/>
    <w:rsid w:val="00E93DCE"/>
    <w:rsid w:val="00EA64B9"/>
    <w:rsid w:val="00EB03F4"/>
    <w:rsid w:val="00EC435A"/>
    <w:rsid w:val="00EC7706"/>
    <w:rsid w:val="00ED7705"/>
    <w:rsid w:val="00EE1030"/>
    <w:rsid w:val="00EE347B"/>
    <w:rsid w:val="00F01E99"/>
    <w:rsid w:val="00F252BF"/>
    <w:rsid w:val="00F44BD3"/>
    <w:rsid w:val="00F54748"/>
    <w:rsid w:val="00F55564"/>
    <w:rsid w:val="00F679F4"/>
    <w:rsid w:val="00F7175D"/>
    <w:rsid w:val="00F7291A"/>
    <w:rsid w:val="00F850B3"/>
    <w:rsid w:val="00FA784F"/>
    <w:rsid w:val="00FB51FF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C6B4"/>
  <w15:docId w15:val="{9C82EC7E-C7C3-4C03-BBEE-9BFFA95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652A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6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E"/>
    <w:rPr>
      <w:rFonts w:ascii="Tahoma" w:eastAsia="Times New Roman" w:hAnsi="Tahoma" w:cs="Tahoma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42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A213-241A-4862-9550-BEED4ED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2020-11-02T15:04:00Z</cp:lastPrinted>
  <dcterms:created xsi:type="dcterms:W3CDTF">2022-07-05T09:20:00Z</dcterms:created>
  <dcterms:modified xsi:type="dcterms:W3CDTF">2022-07-05T09:20:00Z</dcterms:modified>
</cp:coreProperties>
</file>